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0823" w14:textId="2C25F68D" w:rsidR="00BC6BB1" w:rsidRPr="00BC6BB1" w:rsidRDefault="00BC6BB1" w:rsidP="00864A67">
      <w:pPr>
        <w:jc w:val="center"/>
        <w:rPr>
          <w:rFonts w:ascii="Times New Roman" w:hAnsi="Times New Roman" w:cs="Times New Roman"/>
          <w:b/>
          <w:bCs/>
        </w:rPr>
      </w:pPr>
      <w:r w:rsidRPr="00BC6BB1">
        <w:rPr>
          <w:rFonts w:ascii="Times New Roman" w:hAnsi="Times New Roman" w:cs="Times New Roman"/>
          <w:b/>
          <w:bCs/>
        </w:rPr>
        <w:t>ATALGOJUMA POLITIKAS PRINCIPI</w:t>
      </w:r>
    </w:p>
    <w:p w14:paraId="22829DF3" w14:textId="076AC977" w:rsidR="006F68B1" w:rsidRPr="006F68B1" w:rsidRDefault="006F68B1" w:rsidP="006F68B1">
      <w:p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lang w:eastAsia="lv-LV"/>
        </w:rPr>
        <w:t>Atalgojuma politikas mērķis ir noteikt SIA “</w:t>
      </w:r>
      <w:r w:rsidRPr="00BC6BB1">
        <w:rPr>
          <w:rFonts w:ascii="Times New Roman" w:eastAsia="Times New Roman" w:hAnsi="Times New Roman" w:cs="Times New Roman"/>
          <w:lang w:eastAsia="lv-LV"/>
        </w:rPr>
        <w:t>DOBELES ŪDENS</w:t>
      </w:r>
      <w:r w:rsidRPr="006F68B1">
        <w:rPr>
          <w:rFonts w:ascii="Times New Roman" w:eastAsia="Times New Roman" w:hAnsi="Times New Roman" w:cs="Times New Roman"/>
          <w:lang w:eastAsia="lv-LV"/>
        </w:rPr>
        <w:t>” darbinieku atalgojuma pamatprincipus. Atalgojuma politika ir saistoša visiem SIA “</w:t>
      </w:r>
      <w:r w:rsidR="00B80B68" w:rsidRPr="00BC6BB1">
        <w:rPr>
          <w:rFonts w:ascii="Times New Roman" w:eastAsia="Times New Roman" w:hAnsi="Times New Roman" w:cs="Times New Roman"/>
          <w:lang w:eastAsia="lv-LV"/>
        </w:rPr>
        <w:t>DOBELES ŪDENS</w:t>
      </w:r>
      <w:r w:rsidRPr="006F68B1">
        <w:rPr>
          <w:rFonts w:ascii="Times New Roman" w:eastAsia="Times New Roman" w:hAnsi="Times New Roman" w:cs="Times New Roman"/>
          <w:lang w:eastAsia="lv-LV"/>
        </w:rPr>
        <w:t xml:space="preserve">” darbiniekiem. </w:t>
      </w:r>
      <w:r w:rsidR="00B80B68" w:rsidRPr="00BC6BB1">
        <w:rPr>
          <w:rFonts w:ascii="Times New Roman" w:eastAsia="Times New Roman" w:hAnsi="Times New Roman" w:cs="Times New Roman"/>
          <w:lang w:eastAsia="lv-LV"/>
        </w:rPr>
        <w:t xml:space="preserve"> </w:t>
      </w:r>
      <w:r w:rsidRPr="006F68B1">
        <w:rPr>
          <w:rFonts w:ascii="Times New Roman" w:eastAsia="Times New Roman" w:hAnsi="Times New Roman" w:cs="Times New Roman"/>
          <w:lang w:eastAsia="lv-LV"/>
        </w:rPr>
        <w:t xml:space="preserve">Šo politiku nepiemēro </w:t>
      </w:r>
      <w:r w:rsidR="00B80B68" w:rsidRPr="00BC6BB1">
        <w:rPr>
          <w:rFonts w:ascii="Times New Roman" w:eastAsia="Times New Roman" w:hAnsi="Times New Roman" w:cs="Times New Roman"/>
          <w:lang w:eastAsia="lv-LV"/>
        </w:rPr>
        <w:t xml:space="preserve">SIA “DOBELES ŪDENS” </w:t>
      </w:r>
      <w:r w:rsidRPr="006F68B1">
        <w:rPr>
          <w:rFonts w:ascii="Times New Roman" w:eastAsia="Times New Roman" w:hAnsi="Times New Roman" w:cs="Times New Roman"/>
          <w:lang w:eastAsia="lv-LV"/>
        </w:rPr>
        <w:t>valdes locekļ</w:t>
      </w:r>
      <w:r w:rsidR="00B80B68" w:rsidRPr="00BC6BB1">
        <w:rPr>
          <w:rFonts w:ascii="Times New Roman" w:eastAsia="Times New Roman" w:hAnsi="Times New Roman" w:cs="Times New Roman"/>
          <w:lang w:eastAsia="lv-LV"/>
        </w:rPr>
        <w:t>a</w:t>
      </w:r>
      <w:r w:rsidRPr="006F68B1">
        <w:rPr>
          <w:rFonts w:ascii="Times New Roman" w:eastAsia="Times New Roman" w:hAnsi="Times New Roman" w:cs="Times New Roman"/>
          <w:lang w:eastAsia="lv-LV"/>
        </w:rPr>
        <w:t xml:space="preserve"> atlīdzības noteikšanai. Atalgojuma politikas principi: SIA „</w:t>
      </w:r>
      <w:r w:rsidR="00B80B68" w:rsidRPr="00BC6BB1">
        <w:rPr>
          <w:rFonts w:ascii="Times New Roman" w:eastAsia="Times New Roman" w:hAnsi="Times New Roman" w:cs="Times New Roman"/>
          <w:lang w:eastAsia="lv-LV"/>
        </w:rPr>
        <w:t>DOBELES ŪDENS</w:t>
      </w:r>
      <w:r w:rsidRPr="006F68B1">
        <w:rPr>
          <w:rFonts w:ascii="Times New Roman" w:eastAsia="Times New Roman" w:hAnsi="Times New Roman" w:cs="Times New Roman"/>
          <w:lang w:eastAsia="lv-LV"/>
        </w:rPr>
        <w:t>” (turpmāk – Sabiedrība) izstrādāta vienota darba atalgojuma sistēma, balstoties uz šādiem principiem:</w:t>
      </w:r>
      <w:r w:rsidR="00585E7A">
        <w:rPr>
          <w:rFonts w:ascii="Times New Roman" w:eastAsia="Times New Roman" w:hAnsi="Times New Roman" w:cs="Times New Roman"/>
          <w:lang w:eastAsia="lv-LV"/>
        </w:rPr>
        <w:t xml:space="preserve"> </w:t>
      </w:r>
    </w:p>
    <w:p w14:paraId="20EC071C" w14:textId="244282BF" w:rsidR="00B80B68" w:rsidRPr="006F68B1" w:rsidRDefault="006F68B1" w:rsidP="00B80B68">
      <w:pPr>
        <w:numPr>
          <w:ilvl w:val="0"/>
          <w:numId w:val="2"/>
        </w:num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b/>
          <w:bCs/>
          <w:lang w:eastAsia="lv-LV"/>
        </w:rPr>
        <w:t>Darbinieku sociāli – ekonomisko vajadzību apmierināšana.</w:t>
      </w:r>
      <w:r w:rsidRPr="006F68B1">
        <w:rPr>
          <w:rFonts w:ascii="Times New Roman" w:eastAsia="Times New Roman" w:hAnsi="Times New Roman" w:cs="Times New Roman"/>
          <w:lang w:eastAsia="lv-LV"/>
        </w:rPr>
        <w:t xml:space="preserve"> Sabiedrība nodrošina tādu atalgojuma līmeni, kas dod iespēju darbiniekam apmierināt sociāli – ekonomiskās vajadzības. Sabiedrība ir sociāli atbildīgs darba devējs, uzturot labāko praksi darba tiesību un darba aizsardzības jomā.</w:t>
      </w:r>
    </w:p>
    <w:p w14:paraId="75266DD6" w14:textId="4FEB25C2" w:rsidR="006F68B1" w:rsidRPr="006F68B1" w:rsidRDefault="006F68B1" w:rsidP="006F68B1">
      <w:pPr>
        <w:numPr>
          <w:ilvl w:val="0"/>
          <w:numId w:val="2"/>
        </w:num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b/>
          <w:bCs/>
          <w:lang w:eastAsia="lv-LV"/>
        </w:rPr>
        <w:t>Konkurētspējīga atalgojuma līmeņa uzturēšana.</w:t>
      </w:r>
      <w:r w:rsidRPr="006F68B1">
        <w:rPr>
          <w:rFonts w:ascii="Times New Roman" w:eastAsia="Times New Roman" w:hAnsi="Times New Roman" w:cs="Times New Roman"/>
          <w:lang w:eastAsia="lv-LV"/>
        </w:rPr>
        <w:t xml:space="preserve"> Sabiedrības darbinieku atalgojums tiek noteikts atbilstoši Sabiedrības finansiālajām iespējām un ekonomiskajai situācijai valstī ar mērķi piesaistīt kvalificētus un konkurētspējīgus speciālistus. Sabiedrība pastāvīgi rūpējas, lai darbinieka atalgojuma līmenis būtu atbilstošs tirgus apstākļiem un salīdzināms ar citiem konkurētspējīgiem uzņēmumiem valsts un privātajā sektorā, tajā pašā laikā tam jāatspoguļo SIA ”</w:t>
      </w:r>
      <w:r w:rsidR="00927BF6" w:rsidRPr="00BC6BB1">
        <w:rPr>
          <w:rFonts w:ascii="Times New Roman" w:eastAsia="Times New Roman" w:hAnsi="Times New Roman" w:cs="Times New Roman"/>
          <w:lang w:eastAsia="lv-LV"/>
        </w:rPr>
        <w:t>DOBELES ŪDENS</w:t>
      </w:r>
      <w:r w:rsidRPr="006F68B1">
        <w:rPr>
          <w:rFonts w:ascii="Times New Roman" w:eastAsia="Times New Roman" w:hAnsi="Times New Roman" w:cs="Times New Roman"/>
          <w:lang w:eastAsia="lv-LV"/>
        </w:rPr>
        <w:t xml:space="preserve">” pamatvērtības: </w:t>
      </w:r>
      <w:proofErr w:type="spellStart"/>
      <w:r w:rsidRPr="006F68B1">
        <w:rPr>
          <w:rFonts w:ascii="Times New Roman" w:eastAsia="Times New Roman" w:hAnsi="Times New Roman" w:cs="Times New Roman"/>
          <w:lang w:eastAsia="lv-LV"/>
        </w:rPr>
        <w:t>atvērtība</w:t>
      </w:r>
      <w:proofErr w:type="spellEnd"/>
      <w:r w:rsidRPr="006F68B1">
        <w:rPr>
          <w:rFonts w:ascii="Times New Roman" w:eastAsia="Times New Roman" w:hAnsi="Times New Roman" w:cs="Times New Roman"/>
          <w:lang w:eastAsia="lv-LV"/>
        </w:rPr>
        <w:t>, vienkāršība un atbildība, kā arī jānodrošina Sabiedrības ilgtermiņa stratēģisko mērķu sasniegšana.</w:t>
      </w:r>
    </w:p>
    <w:p w14:paraId="5E509909" w14:textId="77777777" w:rsidR="006F68B1" w:rsidRPr="006F68B1" w:rsidRDefault="006F68B1" w:rsidP="006F68B1">
      <w:pPr>
        <w:numPr>
          <w:ilvl w:val="0"/>
          <w:numId w:val="2"/>
        </w:num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b/>
          <w:bCs/>
          <w:lang w:eastAsia="lv-LV"/>
        </w:rPr>
        <w:t>Atalgojuma taisnīgums.</w:t>
      </w:r>
      <w:r w:rsidRPr="006F68B1">
        <w:rPr>
          <w:rFonts w:ascii="Times New Roman" w:eastAsia="Times New Roman" w:hAnsi="Times New Roman" w:cs="Times New Roman"/>
          <w:lang w:eastAsia="lv-LV"/>
        </w:rPr>
        <w:t xml:space="preserve"> Atalgojuma sistēma Sabiedrībā veidota tā, lai darbiniekiem nodrošinātu vienlīdzīgu samaksu par darba ieguldījumu Sabiedrības labā. Taisnīguma princips paredz vienlīdzīgu samaksu par vienādas vērtības darbu, sadalot amatus pa amatu grupām. Atalgojuma elementi uz visiem darbiniekiem tiek attiecināti vienādā apmērā, atbilstoši vienlīdzīgu tiesību principam.</w:t>
      </w:r>
    </w:p>
    <w:p w14:paraId="550BD67E" w14:textId="77777777" w:rsidR="006F68B1" w:rsidRPr="006F68B1" w:rsidRDefault="006F68B1" w:rsidP="006F68B1">
      <w:pPr>
        <w:numPr>
          <w:ilvl w:val="0"/>
          <w:numId w:val="2"/>
        </w:num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b/>
          <w:bCs/>
          <w:lang w:eastAsia="lv-LV"/>
        </w:rPr>
        <w:t>Darba samaksas atbilstība darbinieka ieguldījumam</w:t>
      </w:r>
      <w:r w:rsidRPr="006F68B1">
        <w:rPr>
          <w:rFonts w:ascii="Times New Roman" w:eastAsia="Times New Roman" w:hAnsi="Times New Roman" w:cs="Times New Roman"/>
          <w:lang w:eastAsia="lv-LV"/>
        </w:rPr>
        <w:t>. Sabiedrības darbinieku atalgojums noteikts tā, lai motivētu darbiniekus īstenot viņu individuālos mērķus, atbilstoši veicamā darba saturam un atbildības pakāpei. Sabiedrība pastāvīgi meklē risinājumus, kā optimāli nodrošināt saikni starp darbinieka individuālo darba sniegumu un atalgojumu.</w:t>
      </w:r>
    </w:p>
    <w:p w14:paraId="42309303" w14:textId="7737BE8F" w:rsidR="006F68B1" w:rsidRPr="006F68B1" w:rsidRDefault="006F68B1" w:rsidP="006F68B1">
      <w:pPr>
        <w:numPr>
          <w:ilvl w:val="0"/>
          <w:numId w:val="2"/>
        </w:numPr>
        <w:spacing w:before="100" w:beforeAutospacing="1" w:after="100" w:afterAutospacing="1" w:line="240" w:lineRule="auto"/>
        <w:jc w:val="both"/>
        <w:rPr>
          <w:rFonts w:ascii="Times New Roman" w:eastAsia="Times New Roman" w:hAnsi="Times New Roman" w:cs="Times New Roman"/>
          <w:lang w:eastAsia="lv-LV"/>
        </w:rPr>
      </w:pPr>
      <w:r w:rsidRPr="006F68B1">
        <w:rPr>
          <w:rFonts w:ascii="Times New Roman" w:eastAsia="Times New Roman" w:hAnsi="Times New Roman" w:cs="Times New Roman"/>
          <w:b/>
          <w:bCs/>
          <w:lang w:eastAsia="lv-LV"/>
        </w:rPr>
        <w:t>Darba samaksas caurskatāmība</w:t>
      </w:r>
      <w:r w:rsidRPr="006F68B1">
        <w:rPr>
          <w:rFonts w:ascii="Times New Roman" w:eastAsia="Times New Roman" w:hAnsi="Times New Roman" w:cs="Times New Roman"/>
          <w:lang w:eastAsia="lv-LV"/>
        </w:rPr>
        <w:t>. Sabiedrības darbinieku atalgojuma sistēma ir caurskatāma, atalgojuma elementus, to piešķiršanas un administrēšanas kārtību nosaka Sabiedrības iekšējie normatīvie akti, kas izstrādāti ievērojot Darba likuma normas.</w:t>
      </w:r>
      <w:r w:rsidR="006C4C9C">
        <w:rPr>
          <w:rFonts w:ascii="Times New Roman" w:eastAsia="Times New Roman" w:hAnsi="Times New Roman" w:cs="Times New Roman"/>
          <w:lang w:eastAsia="lv-LV"/>
        </w:rPr>
        <w:t xml:space="preserve">        </w:t>
      </w:r>
    </w:p>
    <w:p w14:paraId="7514EF51" w14:textId="77777777" w:rsidR="00BC6BB1" w:rsidRPr="00864A67" w:rsidRDefault="00BC6BB1" w:rsidP="00BC6BB1">
      <w:pPr>
        <w:spacing w:after="0" w:line="240" w:lineRule="auto"/>
        <w:jc w:val="both"/>
        <w:rPr>
          <w:rFonts w:ascii="Times New Roman" w:hAnsi="Times New Roman" w:cs="Times New Roman"/>
          <w:b/>
          <w:bCs/>
          <w:color w:val="000000"/>
        </w:rPr>
      </w:pPr>
      <w:r w:rsidRPr="00864A67">
        <w:rPr>
          <w:rFonts w:ascii="Times New Roman" w:hAnsi="Times New Roman" w:cs="Times New Roman"/>
          <w:b/>
          <w:bCs/>
        </w:rPr>
        <w:t xml:space="preserve">SIA </w:t>
      </w:r>
      <w:r w:rsidRPr="00864A67">
        <w:rPr>
          <w:rFonts w:ascii="Times New Roman" w:hAnsi="Times New Roman" w:cs="Times New Roman"/>
          <w:b/>
          <w:bCs/>
          <w:color w:val="000000"/>
        </w:rPr>
        <w:t>„</w:t>
      </w:r>
      <w:r w:rsidRPr="00864A67">
        <w:rPr>
          <w:rFonts w:ascii="Times New Roman" w:hAnsi="Times New Roman" w:cs="Times New Roman"/>
          <w:b/>
          <w:bCs/>
        </w:rPr>
        <w:t xml:space="preserve">DOBELES ŪDENS” ir izstrādāts iekšējs normatīvs akts </w:t>
      </w:r>
      <w:r w:rsidRPr="00864A67">
        <w:rPr>
          <w:rFonts w:ascii="Times New Roman" w:hAnsi="Times New Roman" w:cs="Times New Roman"/>
          <w:b/>
          <w:bCs/>
          <w:color w:val="000000"/>
        </w:rPr>
        <w:t xml:space="preserve">„SIA „DOBELES ŪDENS” Atlīdzības nolikums”.      </w:t>
      </w:r>
    </w:p>
    <w:p w14:paraId="16BC304D" w14:textId="77777777" w:rsidR="00722A86" w:rsidRPr="00BC6BB1" w:rsidRDefault="00722A86" w:rsidP="00722A86">
      <w:pPr>
        <w:pStyle w:val="Default"/>
        <w:ind w:left="720"/>
        <w:jc w:val="both"/>
        <w:rPr>
          <w:sz w:val="22"/>
          <w:szCs w:val="22"/>
        </w:rPr>
      </w:pPr>
    </w:p>
    <w:p w14:paraId="0EC1691C" w14:textId="77777777" w:rsidR="00BC6BB1" w:rsidRPr="00BC6BB1" w:rsidRDefault="00BC6BB1" w:rsidP="00BC6BB1">
      <w:pPr>
        <w:pStyle w:val="Default"/>
        <w:jc w:val="both"/>
        <w:rPr>
          <w:sz w:val="22"/>
          <w:szCs w:val="22"/>
        </w:rPr>
      </w:pPr>
      <w:r w:rsidRPr="00BC6BB1">
        <w:rPr>
          <w:sz w:val="22"/>
          <w:szCs w:val="22"/>
        </w:rPr>
        <w:t xml:space="preserve">Atlīdzības nolikumā noteiktās sociālās garantijas, brīvdienas, atvaļinājumu piemaksas, prēmijas un naudas balvas piešķir </w:t>
      </w:r>
      <w:r w:rsidRPr="00BC6BB1">
        <w:rPr>
          <w:bCs/>
          <w:sz w:val="22"/>
          <w:szCs w:val="22"/>
        </w:rPr>
        <w:t xml:space="preserve">SIA „DOBELES ŪDENS” </w:t>
      </w:r>
      <w:r w:rsidRPr="00BC6BB1">
        <w:rPr>
          <w:sz w:val="22"/>
          <w:szCs w:val="22"/>
        </w:rPr>
        <w:t xml:space="preserve">valdes loceklis uz izdota rīkojuma pamata. </w:t>
      </w:r>
    </w:p>
    <w:p w14:paraId="2CEA1597" w14:textId="66E3B7A9" w:rsidR="00BC6BB1" w:rsidRDefault="00BC6BB1" w:rsidP="00BC6BB1">
      <w:pPr>
        <w:spacing w:after="0" w:line="240" w:lineRule="auto"/>
        <w:jc w:val="both"/>
        <w:rPr>
          <w:rFonts w:ascii="Times New Roman" w:hAnsi="Times New Roman" w:cs="Times New Roman"/>
        </w:rPr>
      </w:pPr>
      <w:r w:rsidRPr="00BC6BB1">
        <w:rPr>
          <w:rFonts w:ascii="Times New Roman" w:hAnsi="Times New Roman" w:cs="Times New Roman"/>
        </w:rPr>
        <w:t xml:space="preserve">Atalgojumu veido darba samaksa, piemaksas, prēmijas un pabalsti, saskaņā ar noslēgtajiem darba līgumiem un </w:t>
      </w:r>
      <w:r w:rsidR="00864A67" w:rsidRPr="00864A67">
        <w:rPr>
          <w:rFonts w:ascii="Times New Roman" w:hAnsi="Times New Roman" w:cs="Times New Roman"/>
          <w:bCs/>
        </w:rPr>
        <w:t>SIA „DOBELES ŪDENS”</w:t>
      </w:r>
      <w:r w:rsidR="00864A67">
        <w:rPr>
          <w:bCs/>
        </w:rPr>
        <w:t xml:space="preserve"> </w:t>
      </w:r>
      <w:r w:rsidRPr="00BC6BB1">
        <w:rPr>
          <w:rFonts w:ascii="Times New Roman" w:hAnsi="Times New Roman" w:cs="Times New Roman"/>
        </w:rPr>
        <w:t>valdes locekļa izdotajiem rīkojumiem.</w:t>
      </w:r>
    </w:p>
    <w:p w14:paraId="4BB9A94B" w14:textId="77777777" w:rsidR="00864A67" w:rsidRPr="00BC6BB1" w:rsidRDefault="00864A67" w:rsidP="00BC6BB1">
      <w:pPr>
        <w:spacing w:after="0" w:line="240" w:lineRule="auto"/>
        <w:jc w:val="both"/>
        <w:rPr>
          <w:rFonts w:ascii="Times New Roman" w:hAnsi="Times New Roman" w:cs="Times New Roman"/>
        </w:rPr>
      </w:pPr>
    </w:p>
    <w:p w14:paraId="4BD979DC" w14:textId="412A1B6C" w:rsidR="006F68B1" w:rsidRDefault="00BC6BB1" w:rsidP="00BC6BB1">
      <w:pPr>
        <w:spacing w:after="0" w:line="240" w:lineRule="auto"/>
        <w:jc w:val="both"/>
        <w:rPr>
          <w:rFonts w:ascii="Times New Roman" w:hAnsi="Times New Roman" w:cs="Times New Roman"/>
        </w:rPr>
      </w:pPr>
      <w:r w:rsidRPr="00BC6BB1">
        <w:rPr>
          <w:rFonts w:ascii="Times New Roman" w:hAnsi="Times New Roman" w:cs="Times New Roman"/>
        </w:rPr>
        <w:t>Amatus klasificē atbilstošās saimēs (</w:t>
      </w:r>
      <w:proofErr w:type="spellStart"/>
      <w:r w:rsidRPr="00BC6BB1">
        <w:rPr>
          <w:rFonts w:ascii="Times New Roman" w:hAnsi="Times New Roman" w:cs="Times New Roman"/>
        </w:rPr>
        <w:t>apakšsaimēs</w:t>
      </w:r>
      <w:proofErr w:type="spellEnd"/>
      <w:r w:rsidRPr="00BC6BB1">
        <w:rPr>
          <w:rFonts w:ascii="Times New Roman" w:hAnsi="Times New Roman" w:cs="Times New Roman"/>
        </w:rPr>
        <w:t>) un līmeņos, ņemot vērā saimju (</w:t>
      </w:r>
      <w:proofErr w:type="spellStart"/>
      <w:r w:rsidRPr="00BC6BB1">
        <w:rPr>
          <w:rFonts w:ascii="Times New Roman" w:hAnsi="Times New Roman" w:cs="Times New Roman"/>
        </w:rPr>
        <w:t>apakšsaimju</w:t>
      </w:r>
      <w:proofErr w:type="spellEnd"/>
      <w:r w:rsidRPr="00BC6BB1">
        <w:rPr>
          <w:rFonts w:ascii="Times New Roman" w:hAnsi="Times New Roman" w:cs="Times New Roman"/>
        </w:rPr>
        <w:t>) aprakstus un līmeņu raksturojumus</w:t>
      </w:r>
      <w:r w:rsidR="005D6851">
        <w:rPr>
          <w:rFonts w:ascii="Times New Roman" w:hAnsi="Times New Roman" w:cs="Times New Roman"/>
        </w:rPr>
        <w:t>.</w:t>
      </w:r>
      <w:r w:rsidR="00585E7A">
        <w:rPr>
          <w:rFonts w:ascii="Times New Roman" w:hAnsi="Times New Roman" w:cs="Times New Roman"/>
        </w:rPr>
        <w:t xml:space="preserve"> </w:t>
      </w:r>
    </w:p>
    <w:p w14:paraId="553F00A6" w14:textId="6D08D0EB" w:rsidR="005D6851" w:rsidRDefault="005D6851" w:rsidP="00BC6BB1">
      <w:pPr>
        <w:spacing w:after="0" w:line="240" w:lineRule="auto"/>
        <w:jc w:val="both"/>
        <w:rPr>
          <w:rFonts w:ascii="Times New Roman" w:hAnsi="Times New Roman" w:cs="Times New Roman"/>
        </w:rPr>
      </w:pPr>
    </w:p>
    <w:tbl>
      <w:tblPr>
        <w:tblStyle w:val="Reatabula"/>
        <w:tblW w:w="0" w:type="auto"/>
        <w:tblLook w:val="04A0" w:firstRow="1" w:lastRow="0" w:firstColumn="1" w:lastColumn="0" w:noHBand="0" w:noVBand="1"/>
      </w:tblPr>
      <w:tblGrid>
        <w:gridCol w:w="2337"/>
        <w:gridCol w:w="2337"/>
        <w:gridCol w:w="2338"/>
        <w:gridCol w:w="2338"/>
      </w:tblGrid>
      <w:tr w:rsidR="005D6851" w:rsidRPr="005D6851" w14:paraId="2C96F756" w14:textId="77777777" w:rsidTr="00A60B41">
        <w:tc>
          <w:tcPr>
            <w:tcW w:w="2337" w:type="dxa"/>
          </w:tcPr>
          <w:p w14:paraId="7154C3D5" w14:textId="77777777" w:rsidR="005D6851" w:rsidRPr="005D6851" w:rsidRDefault="005D6851" w:rsidP="00A60B41">
            <w:pPr>
              <w:jc w:val="center"/>
              <w:rPr>
                <w:rFonts w:ascii="Times New Roman" w:hAnsi="Times New Roman" w:cs="Times New Roman"/>
                <w:b/>
              </w:rPr>
            </w:pPr>
            <w:r w:rsidRPr="005D6851">
              <w:rPr>
                <w:rFonts w:ascii="Times New Roman" w:hAnsi="Times New Roman" w:cs="Times New Roman"/>
                <w:b/>
              </w:rPr>
              <w:t>Amatu grupas nosaukums</w:t>
            </w:r>
          </w:p>
        </w:tc>
        <w:tc>
          <w:tcPr>
            <w:tcW w:w="2337" w:type="dxa"/>
          </w:tcPr>
          <w:p w14:paraId="5BE9C3B4" w14:textId="77777777" w:rsidR="005D6851" w:rsidRPr="005D6851" w:rsidRDefault="005D6851" w:rsidP="00A60B41">
            <w:pPr>
              <w:jc w:val="center"/>
              <w:rPr>
                <w:rFonts w:ascii="Times New Roman" w:hAnsi="Times New Roman" w:cs="Times New Roman"/>
                <w:b/>
              </w:rPr>
            </w:pPr>
            <w:r w:rsidRPr="005D6851">
              <w:rPr>
                <w:rFonts w:ascii="Times New Roman" w:hAnsi="Times New Roman" w:cs="Times New Roman"/>
                <w:b/>
              </w:rPr>
              <w:t>Minimālais atalgojums</w:t>
            </w:r>
          </w:p>
        </w:tc>
        <w:tc>
          <w:tcPr>
            <w:tcW w:w="2338" w:type="dxa"/>
          </w:tcPr>
          <w:p w14:paraId="3205BE03" w14:textId="77777777" w:rsidR="005D6851" w:rsidRPr="005D6851" w:rsidRDefault="005D6851" w:rsidP="00A60B41">
            <w:pPr>
              <w:jc w:val="center"/>
              <w:rPr>
                <w:rFonts w:ascii="Times New Roman" w:hAnsi="Times New Roman" w:cs="Times New Roman"/>
                <w:b/>
              </w:rPr>
            </w:pPr>
            <w:r w:rsidRPr="005D6851">
              <w:rPr>
                <w:rFonts w:ascii="Times New Roman" w:hAnsi="Times New Roman" w:cs="Times New Roman"/>
                <w:b/>
              </w:rPr>
              <w:t>Maksimālais atalgojums</w:t>
            </w:r>
          </w:p>
        </w:tc>
        <w:tc>
          <w:tcPr>
            <w:tcW w:w="2338" w:type="dxa"/>
          </w:tcPr>
          <w:p w14:paraId="215748F7" w14:textId="77777777" w:rsidR="005D6851" w:rsidRPr="005D6851" w:rsidRDefault="005D6851" w:rsidP="00A60B41">
            <w:pPr>
              <w:jc w:val="center"/>
              <w:rPr>
                <w:rFonts w:ascii="Times New Roman" w:hAnsi="Times New Roman" w:cs="Times New Roman"/>
                <w:b/>
              </w:rPr>
            </w:pPr>
            <w:r w:rsidRPr="005D6851">
              <w:rPr>
                <w:rFonts w:ascii="Times New Roman" w:hAnsi="Times New Roman" w:cs="Times New Roman"/>
                <w:b/>
              </w:rPr>
              <w:t>Darbinieku skaits</w:t>
            </w:r>
          </w:p>
        </w:tc>
      </w:tr>
      <w:tr w:rsidR="005D6851" w:rsidRPr="005D6851" w14:paraId="2C99B873" w14:textId="77777777" w:rsidTr="00A60B41">
        <w:trPr>
          <w:trHeight w:val="213"/>
        </w:trPr>
        <w:tc>
          <w:tcPr>
            <w:tcW w:w="2337" w:type="dxa"/>
          </w:tcPr>
          <w:p w14:paraId="369B5C49" w14:textId="77777777" w:rsidR="005D6851" w:rsidRPr="005D6851" w:rsidRDefault="005D6851" w:rsidP="00A60B41">
            <w:pPr>
              <w:rPr>
                <w:rFonts w:ascii="Times New Roman" w:hAnsi="Times New Roman" w:cs="Times New Roman"/>
                <w:bCs/>
              </w:rPr>
            </w:pPr>
            <w:r w:rsidRPr="005D6851">
              <w:rPr>
                <w:rFonts w:ascii="Times New Roman" w:hAnsi="Times New Roman" w:cs="Times New Roman"/>
                <w:bCs/>
              </w:rPr>
              <w:t>Valdes loceklis</w:t>
            </w:r>
          </w:p>
        </w:tc>
        <w:tc>
          <w:tcPr>
            <w:tcW w:w="2337" w:type="dxa"/>
          </w:tcPr>
          <w:p w14:paraId="01301F49" w14:textId="77777777" w:rsidR="005D6851" w:rsidRPr="005D6851" w:rsidRDefault="005D6851" w:rsidP="00A60B41">
            <w:pPr>
              <w:jc w:val="center"/>
              <w:rPr>
                <w:rFonts w:ascii="Times New Roman" w:hAnsi="Times New Roman" w:cs="Times New Roman"/>
                <w:bCs/>
              </w:rPr>
            </w:pPr>
          </w:p>
        </w:tc>
        <w:tc>
          <w:tcPr>
            <w:tcW w:w="2338" w:type="dxa"/>
          </w:tcPr>
          <w:p w14:paraId="2E2CE0ED"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3 100</w:t>
            </w:r>
          </w:p>
        </w:tc>
        <w:tc>
          <w:tcPr>
            <w:tcW w:w="2338" w:type="dxa"/>
          </w:tcPr>
          <w:p w14:paraId="0ABDC0CA"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w:t>
            </w:r>
          </w:p>
        </w:tc>
      </w:tr>
      <w:tr w:rsidR="005D6851" w:rsidRPr="005D6851" w14:paraId="7EC338B0" w14:textId="77777777" w:rsidTr="00A60B41">
        <w:trPr>
          <w:trHeight w:val="475"/>
        </w:trPr>
        <w:tc>
          <w:tcPr>
            <w:tcW w:w="2337" w:type="dxa"/>
          </w:tcPr>
          <w:p w14:paraId="2045D24F" w14:textId="77777777" w:rsidR="005D6851" w:rsidRPr="005D6851" w:rsidRDefault="005D6851" w:rsidP="00A60B41">
            <w:pPr>
              <w:rPr>
                <w:rFonts w:ascii="Times New Roman" w:hAnsi="Times New Roman" w:cs="Times New Roman"/>
                <w:bCs/>
              </w:rPr>
            </w:pPr>
            <w:r w:rsidRPr="005D6851">
              <w:rPr>
                <w:rFonts w:ascii="Times New Roman" w:hAnsi="Times New Roman" w:cs="Times New Roman"/>
                <w:bCs/>
              </w:rPr>
              <w:t>Tehniskās struktūrvienības vadītājs</w:t>
            </w:r>
          </w:p>
        </w:tc>
        <w:tc>
          <w:tcPr>
            <w:tcW w:w="2337" w:type="dxa"/>
          </w:tcPr>
          <w:p w14:paraId="31A1D736"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1 300</w:t>
            </w:r>
          </w:p>
        </w:tc>
        <w:tc>
          <w:tcPr>
            <w:tcW w:w="2338" w:type="dxa"/>
          </w:tcPr>
          <w:p w14:paraId="28C9FEC9"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1 690</w:t>
            </w:r>
          </w:p>
        </w:tc>
        <w:tc>
          <w:tcPr>
            <w:tcW w:w="2338" w:type="dxa"/>
          </w:tcPr>
          <w:p w14:paraId="68401DC7"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w:t>
            </w:r>
          </w:p>
        </w:tc>
      </w:tr>
      <w:tr w:rsidR="005D6851" w:rsidRPr="005D6851" w14:paraId="447EF339" w14:textId="77777777" w:rsidTr="00A60B41">
        <w:tc>
          <w:tcPr>
            <w:tcW w:w="2337" w:type="dxa"/>
          </w:tcPr>
          <w:p w14:paraId="2262B4EC" w14:textId="77777777" w:rsidR="005D6851" w:rsidRPr="005D6851" w:rsidRDefault="005D6851" w:rsidP="00A60B41">
            <w:pPr>
              <w:rPr>
                <w:rFonts w:ascii="Times New Roman" w:hAnsi="Times New Roman" w:cs="Times New Roman"/>
                <w:bCs/>
              </w:rPr>
            </w:pPr>
            <w:r w:rsidRPr="005D6851">
              <w:rPr>
                <w:rFonts w:ascii="Times New Roman" w:hAnsi="Times New Roman" w:cs="Times New Roman"/>
                <w:bCs/>
              </w:rPr>
              <w:t>Vadošie speciālisti</w:t>
            </w:r>
          </w:p>
        </w:tc>
        <w:tc>
          <w:tcPr>
            <w:tcW w:w="2337" w:type="dxa"/>
          </w:tcPr>
          <w:p w14:paraId="3FC37450"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1 200</w:t>
            </w:r>
          </w:p>
        </w:tc>
        <w:tc>
          <w:tcPr>
            <w:tcW w:w="2338" w:type="dxa"/>
          </w:tcPr>
          <w:p w14:paraId="4851EBD7"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1 560</w:t>
            </w:r>
          </w:p>
        </w:tc>
        <w:tc>
          <w:tcPr>
            <w:tcW w:w="2338" w:type="dxa"/>
          </w:tcPr>
          <w:p w14:paraId="09D17B97"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3</w:t>
            </w:r>
          </w:p>
        </w:tc>
      </w:tr>
      <w:tr w:rsidR="005D6851" w:rsidRPr="005D6851" w14:paraId="184B25AF" w14:textId="77777777" w:rsidTr="00A60B41">
        <w:tc>
          <w:tcPr>
            <w:tcW w:w="2337" w:type="dxa"/>
          </w:tcPr>
          <w:p w14:paraId="5545A15B" w14:textId="77777777" w:rsidR="005D6851" w:rsidRPr="005D6851" w:rsidRDefault="005D6851" w:rsidP="00A60B41">
            <w:pPr>
              <w:rPr>
                <w:rFonts w:ascii="Times New Roman" w:hAnsi="Times New Roman" w:cs="Times New Roman"/>
                <w:bCs/>
              </w:rPr>
            </w:pPr>
            <w:r w:rsidRPr="005D6851">
              <w:rPr>
                <w:rFonts w:ascii="Times New Roman" w:hAnsi="Times New Roman" w:cs="Times New Roman"/>
                <w:bCs/>
              </w:rPr>
              <w:t>Speciālisti</w:t>
            </w:r>
          </w:p>
        </w:tc>
        <w:tc>
          <w:tcPr>
            <w:tcW w:w="2337" w:type="dxa"/>
          </w:tcPr>
          <w:p w14:paraId="6B4BFD1E"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800</w:t>
            </w:r>
          </w:p>
        </w:tc>
        <w:tc>
          <w:tcPr>
            <w:tcW w:w="2338" w:type="dxa"/>
          </w:tcPr>
          <w:p w14:paraId="5D3A58AA"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1 430</w:t>
            </w:r>
          </w:p>
        </w:tc>
        <w:tc>
          <w:tcPr>
            <w:tcW w:w="2338" w:type="dxa"/>
          </w:tcPr>
          <w:p w14:paraId="226859D6"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15</w:t>
            </w:r>
          </w:p>
        </w:tc>
      </w:tr>
      <w:tr w:rsidR="005D6851" w:rsidRPr="005D6851" w14:paraId="51553767" w14:textId="77777777" w:rsidTr="00A60B41">
        <w:tc>
          <w:tcPr>
            <w:tcW w:w="2337" w:type="dxa"/>
          </w:tcPr>
          <w:p w14:paraId="15F1743B" w14:textId="77777777" w:rsidR="005D6851" w:rsidRPr="005D6851" w:rsidRDefault="005D6851" w:rsidP="00A60B41">
            <w:pPr>
              <w:rPr>
                <w:rFonts w:ascii="Times New Roman" w:hAnsi="Times New Roman" w:cs="Times New Roman"/>
                <w:bCs/>
              </w:rPr>
            </w:pPr>
            <w:r w:rsidRPr="005D6851">
              <w:rPr>
                <w:rFonts w:ascii="Times New Roman" w:hAnsi="Times New Roman" w:cs="Times New Roman"/>
                <w:bCs/>
              </w:rPr>
              <w:t>Kvalificēti strādnieki un vienkāršās profesijas</w:t>
            </w:r>
          </w:p>
        </w:tc>
        <w:tc>
          <w:tcPr>
            <w:tcW w:w="2337" w:type="dxa"/>
          </w:tcPr>
          <w:p w14:paraId="6B04C41D"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550</w:t>
            </w:r>
          </w:p>
        </w:tc>
        <w:tc>
          <w:tcPr>
            <w:tcW w:w="2338" w:type="dxa"/>
          </w:tcPr>
          <w:p w14:paraId="30E46DB8"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1 170</w:t>
            </w:r>
          </w:p>
        </w:tc>
        <w:tc>
          <w:tcPr>
            <w:tcW w:w="2338" w:type="dxa"/>
          </w:tcPr>
          <w:p w14:paraId="4651F5F3" w14:textId="77777777" w:rsidR="005D6851" w:rsidRPr="005D6851" w:rsidRDefault="005D6851" w:rsidP="00A60B41">
            <w:pPr>
              <w:jc w:val="center"/>
              <w:rPr>
                <w:rFonts w:ascii="Times New Roman" w:hAnsi="Times New Roman" w:cs="Times New Roman"/>
                <w:bCs/>
              </w:rPr>
            </w:pPr>
            <w:r w:rsidRPr="005D6851">
              <w:rPr>
                <w:rFonts w:ascii="Times New Roman" w:hAnsi="Times New Roman" w:cs="Times New Roman"/>
                <w:bCs/>
              </w:rPr>
              <w:t>21</w:t>
            </w:r>
          </w:p>
        </w:tc>
      </w:tr>
    </w:tbl>
    <w:p w14:paraId="0643C7CD" w14:textId="77777777" w:rsidR="005D6851" w:rsidRPr="005D6851" w:rsidRDefault="005D6851" w:rsidP="00BC6BB1">
      <w:pPr>
        <w:spacing w:after="0" w:line="240" w:lineRule="auto"/>
        <w:jc w:val="both"/>
        <w:rPr>
          <w:rFonts w:ascii="Times New Roman" w:hAnsi="Times New Roman" w:cs="Times New Roman"/>
        </w:rPr>
      </w:pPr>
    </w:p>
    <w:sectPr w:rsidR="005D6851" w:rsidRPr="005D6851" w:rsidSect="005D6851">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E7946"/>
    <w:multiLevelType w:val="hybridMultilevel"/>
    <w:tmpl w:val="63CCF4E8"/>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6FB0675"/>
    <w:multiLevelType w:val="multilevel"/>
    <w:tmpl w:val="FB7EACE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1C"/>
    <w:rsid w:val="00041E47"/>
    <w:rsid w:val="000E174C"/>
    <w:rsid w:val="002458CA"/>
    <w:rsid w:val="00283D59"/>
    <w:rsid w:val="002B30AA"/>
    <w:rsid w:val="002F13E0"/>
    <w:rsid w:val="00310678"/>
    <w:rsid w:val="00383791"/>
    <w:rsid w:val="003E6ABB"/>
    <w:rsid w:val="00453C1D"/>
    <w:rsid w:val="0046651E"/>
    <w:rsid w:val="005232CF"/>
    <w:rsid w:val="005279CE"/>
    <w:rsid w:val="00544FDC"/>
    <w:rsid w:val="00585E7A"/>
    <w:rsid w:val="005D6851"/>
    <w:rsid w:val="005D7E1C"/>
    <w:rsid w:val="00620F58"/>
    <w:rsid w:val="006C4C9C"/>
    <w:rsid w:val="006F68B1"/>
    <w:rsid w:val="00722A86"/>
    <w:rsid w:val="00795FB1"/>
    <w:rsid w:val="007C6E79"/>
    <w:rsid w:val="007F6F9B"/>
    <w:rsid w:val="00822ADE"/>
    <w:rsid w:val="00864A67"/>
    <w:rsid w:val="00894CAF"/>
    <w:rsid w:val="008C692C"/>
    <w:rsid w:val="00927BF6"/>
    <w:rsid w:val="00AE6C09"/>
    <w:rsid w:val="00B758B0"/>
    <w:rsid w:val="00B80B68"/>
    <w:rsid w:val="00BC6BB1"/>
    <w:rsid w:val="00C428CB"/>
    <w:rsid w:val="00CB3D62"/>
    <w:rsid w:val="00CC5E3E"/>
    <w:rsid w:val="00E93213"/>
    <w:rsid w:val="00F042AF"/>
    <w:rsid w:val="00F60C0A"/>
    <w:rsid w:val="00FE42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96BC"/>
  <w15:chartTrackingRefBased/>
  <w15:docId w15:val="{7ECE2150-555A-4212-BAFE-6A83197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795FB1"/>
    <w:pPr>
      <w:suppressAutoHyphens/>
      <w:spacing w:after="0" w:line="240" w:lineRule="auto"/>
    </w:pPr>
    <w:rPr>
      <w:rFonts w:ascii="Times New Roman" w:eastAsia="Times New Roman" w:hAnsi="Times New Roman" w:cs="Times New Roman"/>
      <w:color w:val="000000"/>
      <w:sz w:val="24"/>
      <w:szCs w:val="24"/>
      <w:lang w:eastAsia="lv-LV"/>
    </w:rPr>
  </w:style>
  <w:style w:type="table" w:styleId="Reatabula">
    <w:name w:val="Table Grid"/>
    <w:basedOn w:val="Parastatabula"/>
    <w:uiPriority w:val="39"/>
    <w:rsid w:val="000E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0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2019</Words>
  <Characters>1152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51</cp:revision>
  <dcterms:created xsi:type="dcterms:W3CDTF">2021-12-06T07:39:00Z</dcterms:created>
  <dcterms:modified xsi:type="dcterms:W3CDTF">2021-12-21T07:14:00Z</dcterms:modified>
</cp:coreProperties>
</file>